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23" w:rsidRDefault="00557B37">
      <w:pPr>
        <w:pStyle w:val="1"/>
        <w:spacing w:after="320"/>
        <w:ind w:right="1"/>
        <w:jc w:val="right"/>
      </w:pPr>
      <w:r>
        <w:rPr>
          <w:rStyle w:val="a3"/>
        </w:rPr>
        <w:t>Проект</w:t>
      </w:r>
    </w:p>
    <w:p w:rsidR="00221723" w:rsidRDefault="00557B37">
      <w:pPr>
        <w:pStyle w:val="1"/>
        <w:spacing w:after="320"/>
        <w:jc w:val="center"/>
      </w:pPr>
      <w:r>
        <w:rPr>
          <w:rStyle w:val="a3"/>
          <w:b/>
          <w:bCs/>
        </w:rPr>
        <w:t>ПРАВИТЕЛЬСТВО БРЯНСКОЙ ОБЛАСТИ</w:t>
      </w:r>
    </w:p>
    <w:p w:rsidR="00221723" w:rsidRDefault="00557B37">
      <w:pPr>
        <w:pStyle w:val="1"/>
        <w:spacing w:after="320"/>
        <w:jc w:val="center"/>
        <w:rPr>
          <w:rStyle w:val="a3"/>
        </w:rPr>
      </w:pPr>
      <w:r>
        <w:rPr>
          <w:rStyle w:val="a3"/>
          <w:b/>
          <w:bCs/>
        </w:rPr>
        <w:t>ПОСТАНОВЛЕНИЕ</w:t>
      </w:r>
    </w:p>
    <w:p w:rsidR="00221723" w:rsidRDefault="00557B37">
      <w:pPr>
        <w:pStyle w:val="1"/>
        <w:tabs>
          <w:tab w:val="left" w:pos="8886"/>
        </w:tabs>
        <w:spacing w:after="220"/>
        <w:ind w:firstLine="260"/>
        <w:jc w:val="both"/>
      </w:pPr>
      <w:r>
        <w:rPr>
          <w:rStyle w:val="a3"/>
        </w:rPr>
        <w:t>от                                                                                                            №</w:t>
      </w:r>
    </w:p>
    <w:p w:rsidR="00221723" w:rsidRDefault="00557B37">
      <w:pPr>
        <w:pStyle w:val="1"/>
        <w:spacing w:after="640"/>
        <w:jc w:val="both"/>
      </w:pPr>
      <w:r>
        <w:rPr>
          <w:rStyle w:val="a3"/>
        </w:rPr>
        <w:t xml:space="preserve">    г. Брянск</w:t>
      </w:r>
    </w:p>
    <w:p w:rsidR="00221723" w:rsidRDefault="00557B37">
      <w:pPr>
        <w:pStyle w:val="1"/>
        <w:tabs>
          <w:tab w:val="left" w:pos="9639"/>
        </w:tabs>
        <w:spacing w:after="320"/>
        <w:ind w:right="3536"/>
        <w:jc w:val="both"/>
      </w:pPr>
      <w:r>
        <w:rPr>
          <w:rStyle w:val="a3"/>
        </w:rPr>
        <w:t>О внесении изменений в Положение                            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221723" w:rsidRDefault="00557B37">
      <w:pPr>
        <w:pStyle w:val="1"/>
        <w:tabs>
          <w:tab w:val="left" w:pos="780"/>
          <w:tab w:val="left" w:pos="1469"/>
          <w:tab w:val="left" w:pos="1987"/>
        </w:tabs>
        <w:jc w:val="both"/>
        <w:rPr>
          <w:rStyle w:val="a3"/>
        </w:rPr>
      </w:pPr>
      <w:r>
        <w:rPr>
          <w:rStyle w:val="a3"/>
        </w:rPr>
        <w:tab/>
        <w:t xml:space="preserve">В соответствии с Федеральными законами от 31 июля 2020 года № 248 ФЗ «О государственном контроле (надзоре) и муниципальном контроле </w:t>
      </w:r>
      <w:r w:rsidR="00D94B5A" w:rsidRPr="00D94B5A">
        <w:rPr>
          <w:rStyle w:val="a3"/>
        </w:rPr>
        <w:t xml:space="preserve">                     </w:t>
      </w:r>
      <w:r>
        <w:rPr>
          <w:rStyle w:val="a3"/>
        </w:rPr>
        <w:t xml:space="preserve">в Российской Федерации», </w:t>
      </w:r>
      <w:r w:rsidRPr="00871872">
        <w:rPr>
          <w:rStyle w:val="a3"/>
        </w:rPr>
        <w:t>от 29 декабря 2025 № года</w:t>
      </w:r>
      <w:r>
        <w:rPr>
          <w:rStyle w:val="a3"/>
        </w:rPr>
        <w:t xml:space="preserve"> 567-ФЗ «О внесении изменений в Федеральный закон «О государственном контроле (</w:t>
      </w:r>
      <w:proofErr w:type="gramStart"/>
      <w:r>
        <w:rPr>
          <w:rStyle w:val="a3"/>
        </w:rPr>
        <w:t xml:space="preserve">надзоре) </w:t>
      </w:r>
      <w:r w:rsidR="00D94B5A" w:rsidRPr="00D94B5A">
        <w:rPr>
          <w:rStyle w:val="a3"/>
        </w:rPr>
        <w:t xml:space="preserve">  </w:t>
      </w:r>
      <w:proofErr w:type="gramEnd"/>
      <w:r w:rsidR="00D94B5A" w:rsidRPr="00D94B5A">
        <w:rPr>
          <w:rStyle w:val="a3"/>
        </w:rPr>
        <w:t xml:space="preserve">                </w:t>
      </w:r>
      <w:r>
        <w:rPr>
          <w:rStyle w:val="a3"/>
        </w:rPr>
        <w:t>и муниципальном к</w:t>
      </w:r>
      <w:r w:rsidR="00871872">
        <w:rPr>
          <w:rStyle w:val="a3"/>
        </w:rPr>
        <w:t>онтроле в Российской Федерации»</w:t>
      </w:r>
    </w:p>
    <w:p w:rsidR="00221723" w:rsidRDefault="00557B37">
      <w:pPr>
        <w:pStyle w:val="1"/>
        <w:tabs>
          <w:tab w:val="left" w:pos="780"/>
          <w:tab w:val="left" w:pos="1469"/>
          <w:tab w:val="left" w:pos="1987"/>
        </w:tabs>
        <w:jc w:val="both"/>
        <w:rPr>
          <w:rStyle w:val="a3"/>
        </w:rPr>
      </w:pPr>
      <w:r>
        <w:rPr>
          <w:rStyle w:val="a3"/>
        </w:rPr>
        <w:t xml:space="preserve">Правительство Брянской области </w:t>
      </w:r>
    </w:p>
    <w:p w:rsidR="00221723" w:rsidRDefault="00557B37">
      <w:pPr>
        <w:pStyle w:val="1"/>
        <w:tabs>
          <w:tab w:val="left" w:pos="780"/>
          <w:tab w:val="left" w:pos="1469"/>
          <w:tab w:val="left" w:pos="1987"/>
        </w:tabs>
        <w:jc w:val="both"/>
        <w:rPr>
          <w:rStyle w:val="a3"/>
          <w:rFonts w:eastAsia="Microsoft Sans Serif"/>
        </w:rPr>
      </w:pPr>
      <w:r>
        <w:rPr>
          <w:rStyle w:val="a3"/>
        </w:rPr>
        <w:t>ПОСТАНОВЛЯЕТ:</w:t>
      </w:r>
    </w:p>
    <w:p w:rsidR="00221723" w:rsidRDefault="00221723">
      <w:pPr>
        <w:pStyle w:val="1"/>
        <w:tabs>
          <w:tab w:val="left" w:pos="780"/>
          <w:tab w:val="left" w:pos="1469"/>
          <w:tab w:val="left" w:pos="1987"/>
        </w:tabs>
        <w:jc w:val="both"/>
        <w:rPr>
          <w:rStyle w:val="a3"/>
          <w:rFonts w:eastAsia="Microsoft Sans Serif"/>
        </w:rPr>
      </w:pP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ab/>
        <w:t xml:space="preserve">1. Внести в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утвержденное постановлением Правительства Брянской области от                                   27 сентября 2021 года № 399-п </w:t>
      </w:r>
      <w:r w:rsidRPr="00871872">
        <w:rPr>
          <w:rStyle w:val="a3"/>
          <w:rFonts w:eastAsia="Microsoft Sans Serif"/>
        </w:rPr>
        <w:t xml:space="preserve">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 </w:t>
      </w:r>
      <w:r w:rsidR="005A7141">
        <w:rPr>
          <w:rStyle w:val="a3"/>
          <w:rFonts w:eastAsia="Microsoft Sans Serif"/>
        </w:rPr>
        <w:t>(в редакции постановлений П</w:t>
      </w:r>
      <w:r>
        <w:rPr>
          <w:rStyle w:val="a3"/>
          <w:rFonts w:eastAsia="Microsoft Sans Serif"/>
        </w:rPr>
        <w:t xml:space="preserve">равительства Брянской области от 26 декабря 2022 </w:t>
      </w:r>
      <w:r w:rsidRPr="00871872">
        <w:rPr>
          <w:rStyle w:val="a3"/>
          <w:rFonts w:eastAsia="Microsoft Sans Serif"/>
        </w:rPr>
        <w:t>года</w:t>
      </w:r>
      <w:r w:rsidR="005A7141">
        <w:rPr>
          <w:rStyle w:val="a3"/>
          <w:rFonts w:eastAsia="Microsoft Sans Serif"/>
        </w:rPr>
        <w:t xml:space="preserve"> № 678-п, от </w:t>
      </w:r>
      <w:r w:rsidRPr="00871872">
        <w:rPr>
          <w:rStyle w:val="a3"/>
          <w:rFonts w:eastAsia="Microsoft Sans Serif"/>
        </w:rPr>
        <w:t>1 декабря 2025 года</w:t>
      </w:r>
      <w:r>
        <w:rPr>
          <w:rStyle w:val="a3"/>
          <w:rFonts w:eastAsia="Microsoft Sans Serif"/>
        </w:rPr>
        <w:t xml:space="preserve"> </w:t>
      </w:r>
      <w:r w:rsidR="00B71F7D">
        <w:rPr>
          <w:rStyle w:val="a3"/>
          <w:rFonts w:eastAsia="Microsoft Sans Serif"/>
        </w:rPr>
        <w:t xml:space="preserve"> </w:t>
      </w:r>
      <w:r w:rsidR="005A7141">
        <w:rPr>
          <w:rStyle w:val="a3"/>
          <w:rFonts w:eastAsia="Microsoft Sans Serif"/>
        </w:rPr>
        <w:t xml:space="preserve">               </w:t>
      </w:r>
      <w:r>
        <w:rPr>
          <w:rStyle w:val="a3"/>
          <w:rFonts w:eastAsia="Microsoft Sans Serif"/>
        </w:rPr>
        <w:t>№ 625-п) следующие изменения: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ab/>
        <w:t>1.1. В разделе I «Общие положения»:</w:t>
      </w:r>
    </w:p>
    <w:p w:rsidR="00221723" w:rsidRDefault="00557B37">
      <w:pPr>
        <w:ind w:firstLine="708"/>
        <w:jc w:val="both"/>
      </w:pPr>
      <w:r w:rsidRPr="00871872">
        <w:rPr>
          <w:rStyle w:val="a3"/>
          <w:rFonts w:eastAsia="Microsoft Sans Serif"/>
        </w:rPr>
        <w:t xml:space="preserve">1.1.1. В абзаце четвертом подпункта б) пункта 4 после слов </w:t>
      </w:r>
      <w:r w:rsidRPr="00871872">
        <w:rPr>
          <w:rStyle w:val="a3"/>
          <w:rFonts w:eastAsia="Microsoft Sans Serif"/>
        </w:rPr>
        <w:lastRenderedPageBreak/>
        <w:t>«муниципального контроля» дополнить словами «(далее — единый реестр видов контроля)».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 w:rsidRPr="00871872">
        <w:rPr>
          <w:rStyle w:val="a3"/>
          <w:rFonts w:eastAsia="Microsoft Sans Serif"/>
        </w:rPr>
        <w:t>1.1.2. Пункт</w:t>
      </w:r>
      <w:r>
        <w:rPr>
          <w:rStyle w:val="a3"/>
          <w:rFonts w:eastAsia="Microsoft Sans Serif"/>
        </w:rPr>
        <w:t xml:space="preserve"> 5 дополнить абзацем следующего содержания: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 xml:space="preserve"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</w:t>
      </w:r>
      <w:proofErr w:type="gramStart"/>
      <w:r>
        <w:rPr>
          <w:rStyle w:val="a3"/>
          <w:rFonts w:eastAsia="Microsoft Sans Serif"/>
        </w:rPr>
        <w:t xml:space="preserve">них </w:t>
      </w:r>
      <w:r w:rsidR="00D94B5A" w:rsidRPr="00D94B5A">
        <w:rPr>
          <w:rStyle w:val="a3"/>
          <w:rFonts w:eastAsia="Microsoft Sans Serif"/>
        </w:rPr>
        <w:t xml:space="preserve"> </w:t>
      </w:r>
      <w:r>
        <w:rPr>
          <w:rStyle w:val="a3"/>
          <w:rFonts w:eastAsia="Microsoft Sans Serif"/>
        </w:rPr>
        <w:t>в</w:t>
      </w:r>
      <w:proofErr w:type="gramEnd"/>
      <w:r>
        <w:rPr>
          <w:rStyle w:val="a3"/>
          <w:rFonts w:eastAsia="Microsoft Sans Serif"/>
        </w:rPr>
        <w:t xml:space="preserve">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требуется.».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1.2. В разделе II «Управление рисками причинения вреда (ущерба) охраняемым законом ценностям при осуществлении регионального государственного контроля (надзора) в области охраны объектов культурного наследия»: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 xml:space="preserve"> </w:t>
      </w:r>
      <w:r>
        <w:rPr>
          <w:rStyle w:val="a3"/>
          <w:rFonts w:eastAsia="Microsoft Sans Serif"/>
        </w:rPr>
        <w:tab/>
        <w:t xml:space="preserve">1.2.1. Пункт 10 дополнить абзацем следующего содержания: 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 xml:space="preserve">«Объект контроля считается отнесённым к одной из категорий риска после внесения сведений в единый реестр видов контроля. </w:t>
      </w:r>
    </w:p>
    <w:p w:rsidR="00221723" w:rsidRDefault="00557B37">
      <w:pPr>
        <w:ind w:firstLine="708"/>
        <w:jc w:val="both"/>
      </w:pPr>
      <w:r w:rsidRPr="00871872">
        <w:rPr>
          <w:rStyle w:val="a3"/>
          <w:rFonts w:eastAsia="Microsoft Sans Serif"/>
        </w:rPr>
        <w:t>При отсутствии в едином реестре видов контроля сведений об отнесении объекта контроля к определенной категории объект контроля считается отнесенным к категории низкого риска.».</w:t>
      </w:r>
    </w:p>
    <w:p w:rsidR="00221723" w:rsidRDefault="00557B37">
      <w:pPr>
        <w:ind w:firstLine="708"/>
        <w:jc w:val="both"/>
      </w:pPr>
      <w:r w:rsidRPr="00871872">
        <w:rPr>
          <w:rStyle w:val="a3"/>
          <w:rFonts w:eastAsia="Microsoft Sans Serif"/>
        </w:rPr>
        <w:t>1.2.2. Пункт 12 изложить в редакции:</w:t>
      </w:r>
    </w:p>
    <w:p w:rsidR="00221723" w:rsidRDefault="00557B37">
      <w:pPr>
        <w:ind w:firstLine="708"/>
        <w:jc w:val="both"/>
      </w:pPr>
      <w:r w:rsidRPr="00871872">
        <w:rPr>
          <w:rStyle w:val="a3"/>
          <w:rFonts w:eastAsia="Microsoft Sans Serif"/>
        </w:rPr>
        <w:t xml:space="preserve">«В отношении объектов регионального государственного контроля (надзора) в области охраны объектов культурного наследия, отнесенных </w:t>
      </w:r>
      <w:r w:rsidR="00D94B5A" w:rsidRPr="00D94B5A">
        <w:rPr>
          <w:rStyle w:val="a3"/>
          <w:rFonts w:eastAsia="Microsoft Sans Serif"/>
        </w:rPr>
        <w:t xml:space="preserve">                     </w:t>
      </w:r>
      <w:r w:rsidRPr="00871872">
        <w:rPr>
          <w:rStyle w:val="a3"/>
          <w:rFonts w:eastAsia="Microsoft Sans Serif"/>
        </w:rPr>
        <w:t xml:space="preserve">к категории значительного риска, проводится обязательный профилактический визит с периодичностью, определяемой Правительством Российской Федерации в соответствии с частью 2 статьи 25 Федерального закона </w:t>
      </w:r>
      <w:r w:rsidR="00C77A03">
        <w:rPr>
          <w:rStyle w:val="a3"/>
          <w:rFonts w:eastAsia="Microsoft Sans Serif"/>
        </w:rPr>
        <w:t xml:space="preserve">                     </w:t>
      </w:r>
      <w:proofErr w:type="gramStart"/>
      <w:r w:rsidR="00C77A03">
        <w:rPr>
          <w:rStyle w:val="a3"/>
          <w:rFonts w:eastAsia="Microsoft Sans Serif"/>
        </w:rPr>
        <w:t xml:space="preserve">   </w:t>
      </w:r>
      <w:r w:rsidRPr="00871872">
        <w:rPr>
          <w:rStyle w:val="a3"/>
          <w:rFonts w:eastAsia="Microsoft Sans Serif"/>
        </w:rPr>
        <w:t>«</w:t>
      </w:r>
      <w:proofErr w:type="gramEnd"/>
      <w:r w:rsidRPr="00871872">
        <w:rPr>
          <w:rStyle w:val="a3"/>
          <w:rFonts w:eastAsia="Microsoft Sans Serif"/>
        </w:rPr>
        <w:t xml:space="preserve">О государственном контроле (надзоре) и муниципальном контроле </w:t>
      </w:r>
      <w:r w:rsidR="00D94B5A" w:rsidRPr="00D94B5A">
        <w:rPr>
          <w:rStyle w:val="a3"/>
          <w:rFonts w:eastAsia="Microsoft Sans Serif"/>
        </w:rPr>
        <w:t xml:space="preserve">                             </w:t>
      </w:r>
      <w:r w:rsidRPr="00871872">
        <w:rPr>
          <w:rStyle w:val="a3"/>
          <w:rFonts w:eastAsia="Microsoft Sans Serif"/>
        </w:rPr>
        <w:t>в Российской Федерации».».</w:t>
      </w:r>
    </w:p>
    <w:p w:rsidR="00221723" w:rsidRDefault="00871872">
      <w:pPr>
        <w:ind w:firstLine="708"/>
        <w:jc w:val="both"/>
      </w:pPr>
      <w:r w:rsidRPr="00871872">
        <w:rPr>
          <w:rStyle w:val="a3"/>
          <w:rFonts w:eastAsia="Microsoft Sans Serif"/>
        </w:rPr>
        <w:t xml:space="preserve">1.2.3. В пункте 17 слова </w:t>
      </w:r>
      <w:r w:rsidR="00557B37" w:rsidRPr="00871872">
        <w:rPr>
          <w:rStyle w:val="a3"/>
          <w:rFonts w:eastAsia="Microsoft Sans Serif"/>
        </w:rPr>
        <w:t>«индикаторами риска» заменить словами «перечнями индикаторов риска».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ab/>
        <w:t>1.3.</w:t>
      </w:r>
      <w:r>
        <w:t xml:space="preserve"> </w:t>
      </w:r>
      <w:r>
        <w:rPr>
          <w:rStyle w:val="a3"/>
          <w:rFonts w:eastAsia="Microsoft Sans Serif"/>
        </w:rPr>
        <w:t xml:space="preserve">В разделе III «Профилактика рисков причинения вреда (ущерба) охраняемым законом ценностям»: 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ab/>
        <w:t>1.3.1. Пункт 37 изложить в редакции: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«37.</w:t>
      </w:r>
      <w:r>
        <w:t xml:space="preserve"> </w:t>
      </w:r>
      <w:r>
        <w:rPr>
          <w:rStyle w:val="a3"/>
          <w:rFonts w:eastAsia="Microsoft Sans Serif"/>
        </w:rPr>
        <w:t xml:space="preserve">Консультирование осуществляется </w:t>
      </w:r>
      <w:r w:rsidRPr="00871872">
        <w:rPr>
          <w:rStyle w:val="a3"/>
          <w:rFonts w:eastAsia="Microsoft Sans Serif"/>
        </w:rPr>
        <w:t xml:space="preserve">должностными лицами управления </w:t>
      </w:r>
      <w:r>
        <w:rPr>
          <w:rStyle w:val="a3"/>
          <w:rFonts w:eastAsia="Microsoft Sans Serif"/>
        </w:rPr>
        <w:t>по телефону, посредством видео-конференц-</w:t>
      </w:r>
      <w:proofErr w:type="gramStart"/>
      <w:r>
        <w:rPr>
          <w:rStyle w:val="a3"/>
          <w:rFonts w:eastAsia="Microsoft Sans Serif"/>
        </w:rPr>
        <w:t>связи,</w:t>
      </w:r>
      <w:r>
        <w:t xml:space="preserve"> </w:t>
      </w:r>
      <w:r w:rsidR="00C77A03">
        <w:t xml:space="preserve">  </w:t>
      </w:r>
      <w:proofErr w:type="gramEnd"/>
      <w:r w:rsidR="00C77A03"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eastAsia="Microsoft Sans Serif"/>
        </w:rPr>
        <w:t>использованием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 w:rsidRPr="00871872">
        <w:rPr>
          <w:rStyle w:val="a3"/>
          <w:rFonts w:eastAsia="Microsoft Sans Serif"/>
        </w:rPr>
        <w:t>Время консультирования одного контролируемого лица (его</w:t>
      </w:r>
      <w:r>
        <w:rPr>
          <w:rStyle w:val="a3"/>
          <w:rFonts w:eastAsia="Microsoft Sans Serif"/>
          <w:shd w:val="clear" w:color="auto" w:fill="FFFF00"/>
        </w:rPr>
        <w:t xml:space="preserve"> </w:t>
      </w:r>
      <w:r w:rsidRPr="00871872">
        <w:rPr>
          <w:rStyle w:val="a3"/>
          <w:rFonts w:eastAsia="Microsoft Sans Serif"/>
        </w:rPr>
        <w:t>представителя не может превышать 15 минут.».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1.3.2. Пункт 43 изложить в редакции: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 xml:space="preserve">«43. Обязательный профилактический визит в рамках регионального государственного контроля (надзора) в области охраны объектов культурного </w:t>
      </w:r>
      <w:r>
        <w:rPr>
          <w:rStyle w:val="a3"/>
          <w:rFonts w:eastAsia="Microsoft Sans Serif"/>
        </w:rPr>
        <w:lastRenderedPageBreak/>
        <w:t>наследия проводится в случаях, предусмотренных пунктами 1, 4 части 1 статьи 52.1 Федерального закона «О государственном контроле (</w:t>
      </w:r>
      <w:proofErr w:type="gramStart"/>
      <w:r>
        <w:rPr>
          <w:rStyle w:val="a3"/>
          <w:rFonts w:eastAsia="Microsoft Sans Serif"/>
        </w:rPr>
        <w:t xml:space="preserve">надзоре) </w:t>
      </w:r>
      <w:r w:rsidR="00D94B5A" w:rsidRPr="00D94B5A">
        <w:rPr>
          <w:rStyle w:val="a3"/>
          <w:rFonts w:eastAsia="Microsoft Sans Serif"/>
        </w:rPr>
        <w:t xml:space="preserve">  </w:t>
      </w:r>
      <w:proofErr w:type="gramEnd"/>
      <w:r w:rsidR="00D94B5A" w:rsidRPr="00D94B5A">
        <w:rPr>
          <w:rStyle w:val="a3"/>
          <w:rFonts w:eastAsia="Microsoft Sans Serif"/>
        </w:rPr>
        <w:t xml:space="preserve">                                </w:t>
      </w:r>
      <w:r>
        <w:rPr>
          <w:rStyle w:val="a3"/>
          <w:rFonts w:eastAsia="Microsoft Sans Serif"/>
        </w:rPr>
        <w:t xml:space="preserve">и муниципальном контроле в Российской Федерации».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                                            </w:t>
      </w:r>
      <w:proofErr w:type="gramStart"/>
      <w:r>
        <w:rPr>
          <w:rStyle w:val="a3"/>
          <w:rFonts w:eastAsia="Microsoft Sans Serif"/>
        </w:rPr>
        <w:t xml:space="preserve">   «</w:t>
      </w:r>
      <w:proofErr w:type="gramEnd"/>
      <w:r>
        <w:rPr>
          <w:rStyle w:val="a3"/>
          <w:rFonts w:eastAsia="Microsoft Sans Serif"/>
        </w:rPr>
        <w:t>О государственном контроле (надзоре) и муниципальном контроле                               в Российской Федерации».».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1.3.3. Пункт 44 дополнить абзацем следующего содержания: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 xml:space="preserve">«В случаях, предусмотренных пунктом 4 части 1 и частью 2 </w:t>
      </w:r>
      <w:r w:rsidR="00871872">
        <w:rPr>
          <w:rStyle w:val="a3"/>
          <w:rFonts w:eastAsia="Microsoft Sans Serif"/>
        </w:rPr>
        <w:t xml:space="preserve">статьи 52.1 Федерального закона </w:t>
      </w:r>
      <w:r>
        <w:rPr>
          <w:rStyle w:val="a3"/>
          <w:rFonts w:eastAsia="Microsoft Sans Serif"/>
        </w:rPr>
        <w:t>«О государственном контроле (</w:t>
      </w:r>
      <w:proofErr w:type="gramStart"/>
      <w:r>
        <w:rPr>
          <w:rStyle w:val="a3"/>
          <w:rFonts w:eastAsia="Microsoft Sans Serif"/>
        </w:rPr>
        <w:t xml:space="preserve">надзоре) </w:t>
      </w:r>
      <w:r w:rsidR="00D94B5A" w:rsidRPr="00D94B5A">
        <w:rPr>
          <w:rStyle w:val="a3"/>
          <w:rFonts w:eastAsia="Microsoft Sans Serif"/>
        </w:rPr>
        <w:t xml:space="preserve">  </w:t>
      </w:r>
      <w:proofErr w:type="gramEnd"/>
      <w:r w:rsidR="00D94B5A" w:rsidRPr="00D94B5A">
        <w:rPr>
          <w:rStyle w:val="a3"/>
          <w:rFonts w:eastAsia="Microsoft Sans Serif"/>
        </w:rPr>
        <w:t xml:space="preserve">                                          </w:t>
      </w:r>
      <w:r>
        <w:rPr>
          <w:rStyle w:val="a3"/>
          <w:rFonts w:eastAsia="Microsoft Sans Serif"/>
        </w:rPr>
        <w:t>и муниципальном контроле в Российской Федерации», проведение обязательных профилактических визитов не ограничено.».</w:t>
      </w:r>
    </w:p>
    <w:p w:rsidR="00221723" w:rsidRPr="00871872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ab/>
      </w:r>
      <w:r w:rsidRPr="00871872">
        <w:rPr>
          <w:rStyle w:val="a3"/>
          <w:rFonts w:eastAsia="Microsoft Sans Serif"/>
        </w:rPr>
        <w:t xml:space="preserve">1.3.4. Дополнить пунктом 44.1 следующего содержания: </w:t>
      </w:r>
    </w:p>
    <w:p w:rsidR="00221723" w:rsidRPr="00871872" w:rsidRDefault="00557B37">
      <w:pPr>
        <w:ind w:firstLine="708"/>
        <w:jc w:val="both"/>
        <w:rPr>
          <w:rStyle w:val="a3"/>
          <w:rFonts w:eastAsia="Microsoft Sans Serif"/>
        </w:rPr>
      </w:pPr>
      <w:r w:rsidRPr="00871872">
        <w:rPr>
          <w:rStyle w:val="a3"/>
          <w:rFonts w:eastAsia="Microsoft Sans Serif"/>
        </w:rPr>
        <w:t>«44.1. В рамках обязательного профилактического визита должностное</w:t>
      </w:r>
      <w:r w:rsidRPr="00871872">
        <w:rPr>
          <w:rStyle w:val="a3"/>
          <w:rFonts w:eastAsia="Microsoft Sans Serif"/>
          <w:shd w:val="clear" w:color="auto" w:fill="FFFF00"/>
        </w:rPr>
        <w:t xml:space="preserve"> </w:t>
      </w:r>
      <w:r w:rsidRPr="00871872">
        <w:rPr>
          <w:rStyle w:val="a3"/>
          <w:rFonts w:eastAsia="Microsoft Sans Serif"/>
        </w:rPr>
        <w:t>лицо управления при необходимости проводит осмотр, истребование</w:t>
      </w:r>
      <w:r w:rsidRPr="00871872">
        <w:rPr>
          <w:rStyle w:val="a3"/>
          <w:rFonts w:eastAsia="Microsoft Sans Serif"/>
          <w:shd w:val="clear" w:color="auto" w:fill="FFFF00"/>
        </w:rPr>
        <w:t xml:space="preserve"> </w:t>
      </w:r>
      <w:r w:rsidRPr="00871872">
        <w:rPr>
          <w:rStyle w:val="a3"/>
          <w:rFonts w:eastAsia="Microsoft Sans Serif"/>
        </w:rPr>
        <w:t>необходимых документов, инструментальное обследование.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 w:rsidRPr="00871872">
        <w:rPr>
          <w:rStyle w:val="a3"/>
          <w:rFonts w:eastAsia="Microsoft Sans Serif"/>
        </w:rPr>
        <w:t>Осмотр при проведении обязательного профилактического визита</w:t>
      </w:r>
      <w:r w:rsidRPr="00871872">
        <w:rPr>
          <w:rStyle w:val="a3"/>
          <w:rFonts w:eastAsia="Microsoft Sans Serif"/>
          <w:shd w:val="clear" w:color="auto" w:fill="FFFF00"/>
        </w:rPr>
        <w:t xml:space="preserve"> </w:t>
      </w:r>
      <w:r w:rsidRPr="00871872">
        <w:rPr>
          <w:rStyle w:val="a3"/>
          <w:rFonts w:eastAsia="Microsoft Sans Serif"/>
        </w:rPr>
        <w:t>может осуществляться должностным лицом управления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При проведении осмотра в рамках обязательного профилактического визита фотосъемка и видеозапись осуществляется с использованием мобильного приложения «Инспектор».».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ab/>
        <w:t>1.4.</w:t>
      </w:r>
      <w:r>
        <w:t xml:space="preserve"> </w:t>
      </w:r>
      <w:r>
        <w:rPr>
          <w:rStyle w:val="a3"/>
          <w:rFonts w:eastAsia="Microsoft Sans Serif"/>
        </w:rPr>
        <w:t>В разделе IV «Осуществление регионального государственного контроля (надзора) в области охраны объектов культурного наследия»: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1.4.1. Пункт 81 изложить в редакции: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ab/>
        <w:t>«Если имеющихся в распоряжении управления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1) получение письменных объяснений;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2) истребование документов.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 xml:space="preserve">Документы могут представляться контролируемыми лицами </w:t>
      </w:r>
      <w:r w:rsidR="00D94B5A" w:rsidRPr="00D94B5A">
        <w:rPr>
          <w:rStyle w:val="a3"/>
          <w:rFonts w:eastAsia="Microsoft Sans Serif"/>
        </w:rPr>
        <w:t xml:space="preserve">                                    </w:t>
      </w:r>
      <w:r>
        <w:rPr>
          <w:rStyle w:val="a3"/>
          <w:rFonts w:eastAsia="Microsoft Sans Serif"/>
        </w:rPr>
        <w:t>с использованием единого портала государственных и муниципальных услуг или мобильного приложения «Инспектор».».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ab/>
        <w:t>1.4.2. Пункт 82 дополнить абзацем следующего содержания:</w:t>
      </w:r>
    </w:p>
    <w:p w:rsidR="00221723" w:rsidRDefault="00557B37">
      <w:pPr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ab/>
        <w:t>«Внеплановая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 части 1 статьи 57 и частью 12 статьи 66 Федерального закона «О государственном контроле (</w:t>
      </w:r>
      <w:proofErr w:type="gramStart"/>
      <w:r>
        <w:rPr>
          <w:rStyle w:val="a3"/>
          <w:rFonts w:eastAsia="Microsoft Sans Serif"/>
        </w:rPr>
        <w:t xml:space="preserve">надзоре) </w:t>
      </w:r>
      <w:r w:rsidR="00D94B5A" w:rsidRPr="00D94B5A">
        <w:rPr>
          <w:rStyle w:val="a3"/>
          <w:rFonts w:eastAsia="Microsoft Sans Serif"/>
        </w:rPr>
        <w:t xml:space="preserve">  </w:t>
      </w:r>
      <w:proofErr w:type="gramEnd"/>
      <w:r w:rsidR="00D94B5A" w:rsidRPr="00D94B5A">
        <w:rPr>
          <w:rStyle w:val="a3"/>
          <w:rFonts w:eastAsia="Microsoft Sans Serif"/>
        </w:rPr>
        <w:t xml:space="preserve">                    </w:t>
      </w:r>
      <w:r>
        <w:rPr>
          <w:rStyle w:val="a3"/>
          <w:rFonts w:eastAsia="Microsoft Sans Serif"/>
        </w:rPr>
        <w:t>и муниципальном контроле в Российской Федерации».».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>1.4.3. Пункт 84 дополнить абзацем следующего содержания:</w:t>
      </w:r>
    </w:p>
    <w:p w:rsidR="00221723" w:rsidRDefault="00557B37">
      <w:pPr>
        <w:ind w:firstLine="708"/>
        <w:jc w:val="both"/>
        <w:rPr>
          <w:rStyle w:val="a3"/>
          <w:rFonts w:eastAsia="Microsoft Sans Serif"/>
        </w:rPr>
      </w:pPr>
      <w:r>
        <w:rPr>
          <w:rStyle w:val="a3"/>
          <w:rFonts w:eastAsia="Microsoft Sans Serif"/>
        </w:rPr>
        <w:t xml:space="preserve">«Действие требований, установленных в отношении сроков проведения выездных проверок и сроков взаимодействия с субъектами малого </w:t>
      </w:r>
      <w:r>
        <w:rPr>
          <w:rStyle w:val="a3"/>
          <w:rFonts w:eastAsia="Microsoft Sans Serif"/>
        </w:rPr>
        <w:lastRenderedPageBreak/>
        <w:t xml:space="preserve">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</w:t>
      </w:r>
      <w:r w:rsidR="00D94B5A" w:rsidRPr="00D94B5A">
        <w:rPr>
          <w:rStyle w:val="a3"/>
          <w:rFonts w:eastAsia="Microsoft Sans Serif"/>
        </w:rPr>
        <w:t xml:space="preserve">                                     </w:t>
      </w:r>
      <w:r>
        <w:rPr>
          <w:rStyle w:val="a3"/>
          <w:rFonts w:eastAsia="Microsoft Sans Serif"/>
        </w:rPr>
        <w:t xml:space="preserve">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</w:t>
      </w:r>
      <w:r w:rsidR="00D94B5A" w:rsidRPr="00D94B5A">
        <w:rPr>
          <w:rStyle w:val="a3"/>
          <w:rFonts w:eastAsia="Microsoft Sans Serif"/>
        </w:rPr>
        <w:t xml:space="preserve">                 </w:t>
      </w:r>
      <w:r>
        <w:rPr>
          <w:rStyle w:val="a3"/>
          <w:rFonts w:eastAsia="Microsoft Sans Serif"/>
        </w:rPr>
        <w:t xml:space="preserve">в Российской Федерации» для малых предприятий, а в части проведения выездных проверок </w:t>
      </w:r>
      <w:proofErr w:type="spellStart"/>
      <w:r>
        <w:rPr>
          <w:rStyle w:val="a3"/>
          <w:rFonts w:eastAsia="Microsoft Sans Serif"/>
        </w:rPr>
        <w:t>микропредприятий</w:t>
      </w:r>
      <w:proofErr w:type="spellEnd"/>
      <w:r>
        <w:rPr>
          <w:rStyle w:val="a3"/>
          <w:rFonts w:eastAsia="Microsoft Sans Serif"/>
        </w:rPr>
        <w:t xml:space="preserve"> –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rStyle w:val="a3"/>
          <w:rFonts w:eastAsia="Microsoft Sans Serif"/>
        </w:rPr>
        <w:t>микропредприятий</w:t>
      </w:r>
      <w:proofErr w:type="spellEnd"/>
      <w:r>
        <w:rPr>
          <w:rStyle w:val="a3"/>
          <w:rFonts w:eastAsia="Microsoft Sans Serif"/>
        </w:rPr>
        <w:t>. Действие положений настоящей части распространяется на социально ориентированные некоммерческие организации, включённые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Федерации.».</w:t>
      </w:r>
    </w:p>
    <w:p w:rsidR="00221723" w:rsidRDefault="00557B37">
      <w:pPr>
        <w:pStyle w:val="1"/>
        <w:tabs>
          <w:tab w:val="left" w:pos="819"/>
        </w:tabs>
        <w:jc w:val="both"/>
        <w:rPr>
          <w:rStyle w:val="a3"/>
        </w:rPr>
      </w:pPr>
      <w:r>
        <w:rPr>
          <w:rStyle w:val="a3"/>
        </w:rPr>
        <w:tab/>
        <w:t>2. Постановление вступает в силу со дня его официального опубликования.</w:t>
      </w:r>
    </w:p>
    <w:p w:rsidR="00221723" w:rsidRDefault="00557B37">
      <w:pPr>
        <w:pStyle w:val="1"/>
        <w:tabs>
          <w:tab w:val="left" w:pos="819"/>
        </w:tabs>
        <w:jc w:val="both"/>
        <w:rPr>
          <w:rStyle w:val="a3"/>
        </w:rPr>
      </w:pPr>
      <w:r>
        <w:rPr>
          <w:rStyle w:val="a3"/>
        </w:rPr>
        <w:tab/>
        <w:t>3. Контроль за исполнением настоящего постановления возложить                                 на заместителя Губернатора Брянской области Филипенко Ю.В.</w:t>
      </w:r>
    </w:p>
    <w:p w:rsidR="00221723" w:rsidRDefault="00221723">
      <w:pPr>
        <w:tabs>
          <w:tab w:val="left" w:pos="1260"/>
        </w:tabs>
        <w:jc w:val="both"/>
        <w:rPr>
          <w:rStyle w:val="a3"/>
          <w:rFonts w:eastAsia="Microsoft Sans Serif"/>
        </w:rPr>
      </w:pPr>
    </w:p>
    <w:p w:rsidR="00221723" w:rsidRDefault="00221723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1723" w:rsidRDefault="00221723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1723" w:rsidRDefault="00221723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1723" w:rsidRDefault="00557B37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Губернатора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Е.В. Ковальчук</w:t>
      </w:r>
    </w:p>
    <w:p w:rsidR="00221723" w:rsidRDefault="00221723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1872" w:rsidRDefault="00871872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068F" w:rsidRDefault="00B1068F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068F" w:rsidRDefault="00B1068F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068F" w:rsidRDefault="00B1068F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068F" w:rsidRDefault="00B1068F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1723" w:rsidRDefault="00557B3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21723">
      <w:footerReference w:type="default" r:id="rId7"/>
      <w:pgSz w:w="11906" w:h="16838"/>
      <w:pgMar w:top="1134" w:right="851" w:bottom="1134" w:left="1701" w:header="0" w:footer="19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D2" w:rsidRDefault="00912ED2">
      <w:r>
        <w:separator/>
      </w:r>
    </w:p>
  </w:endnote>
  <w:endnote w:type="continuationSeparator" w:id="0">
    <w:p w:rsidR="00912ED2" w:rsidRDefault="009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723" w:rsidRDefault="00221723">
    <w:pPr>
      <w:pStyle w:val="aa"/>
      <w:jc w:val="center"/>
      <w:rPr>
        <w:sz w:val="16"/>
        <w:szCs w:val="16"/>
      </w:rPr>
    </w:pPr>
  </w:p>
  <w:p w:rsidR="00221723" w:rsidRDefault="002217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D2" w:rsidRDefault="00912ED2">
      <w:r>
        <w:separator/>
      </w:r>
    </w:p>
  </w:footnote>
  <w:footnote w:type="continuationSeparator" w:id="0">
    <w:p w:rsidR="00912ED2" w:rsidRDefault="009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23"/>
    <w:rsid w:val="00221723"/>
    <w:rsid w:val="002F7DA4"/>
    <w:rsid w:val="00557B37"/>
    <w:rsid w:val="005819BF"/>
    <w:rsid w:val="005A7141"/>
    <w:rsid w:val="00871872"/>
    <w:rsid w:val="00912ED2"/>
    <w:rsid w:val="00AC4C8C"/>
    <w:rsid w:val="00B1068F"/>
    <w:rsid w:val="00B71F7D"/>
    <w:rsid w:val="00C77A03"/>
    <w:rsid w:val="00CC5D55"/>
    <w:rsid w:val="00D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4AFA"/>
  <w15:docId w15:val="{CF89EB91-5CDB-4F38-949A-5CA4918E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B0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B34AB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qFormat/>
    <w:rsid w:val="00B34AB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5004F"/>
    <w:rPr>
      <w:rFonts w:ascii="Segoe UI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138A5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E635D9"/>
    <w:rPr>
      <w:color w:val="000000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E635D9"/>
    <w:rPr>
      <w:color w:val="00000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B34AB0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B34AB0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qFormat/>
    <w:rsid w:val="00C5004F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A138A5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E635D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E635D9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714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37B6B-7C85-44A4-98B5-EF097488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>JOГO JARDIM x8?! PORRA! DIA 8 VOTA NГO!</dc:subject>
  <dc:creator>VOTA NГO А REGIONALIZAЗГO! SIM AO REFORЗO DO MUNICIPALISMO!</dc:creator>
  <dc:description/>
  <cp:lastModifiedBy>User</cp:lastModifiedBy>
  <cp:revision>2</cp:revision>
  <cp:lastPrinted>2026-06-22T14:12:00Z</cp:lastPrinted>
  <dcterms:created xsi:type="dcterms:W3CDTF">2026-06-23T09:04:00Z</dcterms:created>
  <dcterms:modified xsi:type="dcterms:W3CDTF">2026-06-23T09:04:00Z</dcterms:modified>
  <dc:language>ru-RU</dc:language>
</cp:coreProperties>
</file>